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4 (Framework Management)</w:t>
      </w:r>
    </w:p>
    <w:p w:rsidR="00000000" w:rsidDel="00000000" w:rsidP="00000000" w:rsidRDefault="00000000" w:rsidRPr="00000000" w14:paraId="0000000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314.0" w:type="dxa"/>
        <w:jc w:val="left"/>
        <w:tblInd w:w="1008.0" w:type="dxa"/>
        <w:tblLayout w:type="fixed"/>
        <w:tblLook w:val="0400"/>
      </w:tblPr>
      <w:tblGrid>
        <w:gridCol w:w="2928"/>
        <w:gridCol w:w="5386"/>
        <w:tblGridChange w:id="0">
          <w:tblGrid>
            <w:gridCol w:w="2928"/>
            <w:gridCol w:w="5386"/>
          </w:tblGrid>
        </w:tblGridChange>
      </w:tblGrid>
      <w:tr>
        <w:trPr>
          <w:cantSplit w:val="0"/>
          <w:tblHeader w:val="0"/>
        </w:trPr>
        <w:tc>
          <w:tcPr>
            <w:shd w:fill="auto" w:val="clear"/>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Framework Manager"</w:t>
            </w:r>
          </w:p>
        </w:tc>
        <w:tc>
          <w:tcPr>
            <w:shd w:fill="auto" w:val="clear"/>
          </w:tcPr>
          <w:p w:rsidR="00000000" w:rsidDel="00000000" w:rsidP="00000000" w:rsidRDefault="00000000" w:rsidRPr="00000000" w14:paraId="0000000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3.1 of this Schedule; and</w:t>
            </w:r>
          </w:p>
        </w:tc>
      </w:tr>
      <w:tr>
        <w:trPr>
          <w:cantSplit w:val="0"/>
          <w:tblHeader w:val="0"/>
        </w:trPr>
        <w:tc>
          <w:tcPr>
            <w:shd w:fill="auto" w:val="clear"/>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Review Meetings"</w:t>
            </w:r>
          </w:p>
        </w:tc>
        <w:tc>
          <w:tcPr>
            <w:shd w:fill="auto" w:val="clear"/>
          </w:tcPr>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3.9 of this Schedule.</w:t>
            </w:r>
          </w:p>
        </w:tc>
      </w:tr>
    </w:tbl>
    <w:p w:rsidR="00000000" w:rsidDel="00000000" w:rsidP="00000000" w:rsidRDefault="00000000" w:rsidRPr="00000000" w14:paraId="0000000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CCS and the Supplier will work together</w:t>
      </w:r>
    </w:p>
    <w:p w:rsidR="00000000" w:rsidDel="00000000" w:rsidP="00000000" w:rsidRDefault="00000000" w:rsidRPr="00000000" w14:paraId="0000000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rsidR="00000000" w:rsidDel="00000000" w:rsidP="00000000" w:rsidRDefault="00000000" w:rsidRPr="00000000" w14:paraId="0000000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achieve this strategic relationship, there will be a requirement to adopt proactive framework management activities which will be informed by quality Management Information, and the sharing of information between the Supplier and CCS.</w:t>
      </w:r>
    </w:p>
    <w:p w:rsidR="00000000" w:rsidDel="00000000" w:rsidP="00000000" w:rsidRDefault="00000000" w:rsidRPr="00000000" w14:paraId="0000000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outlines the general structures and management activities that the Parties shall follow during the Framework Period.</w:t>
      </w:r>
    </w:p>
    <w:p w:rsidR="00000000" w:rsidDel="00000000" w:rsidP="00000000" w:rsidRDefault="00000000" w:rsidRPr="00000000" w14:paraId="0000000C">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Management</w:t>
      </w:r>
    </w:p>
    <w:p w:rsidR="00000000" w:rsidDel="00000000" w:rsidP="00000000" w:rsidRDefault="00000000" w:rsidRPr="00000000" w14:paraId="0000000D">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Management Structure</w:t>
      </w:r>
    </w:p>
    <w:p w:rsidR="00000000" w:rsidDel="00000000" w:rsidP="00000000" w:rsidRDefault="00000000" w:rsidRPr="00000000" w14:paraId="0000000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 suitably qualified nominated contact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Framework Manager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who will take overall responsibility for delivering the Goods and/or Services required within this Contract, as well as a suitably qualified deputy to act in their absence. </w:t>
      </w: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put in place a structure to manage this Contract in</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accordance with Framework Schedule 1 (Specification) and the Performance Indicators. </w:t>
      </w: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governance structure will be agreed between the Parties as soon as reasonably practicable following the Framework Start Date.</w:t>
      </w: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discussions between the Parties following the Framework Start Date, where requested by CCS the Supplier shall produce and issue to CCS a draft supplier action plan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Action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effect within two weeks from receipt by the Supplier of CCS’s notification.</w:t>
      </w: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comply with its obligations in the Supplier Action Plan as updated from time to time.</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all requests from CCS in regard to compliance requirements as required including:</w:t>
      </w:r>
    </w:p>
    <w:p w:rsidR="00000000" w:rsidDel="00000000" w:rsidP="00000000" w:rsidRDefault="00000000" w:rsidRPr="00000000" w14:paraId="0000001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Dun and Bradstreet risk failure score monitoring;</w:t>
      </w:r>
    </w:p>
    <w:p w:rsidR="00000000" w:rsidDel="00000000" w:rsidP="00000000" w:rsidRDefault="00000000" w:rsidRPr="00000000" w14:paraId="0000001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 evidence that the Required Insurances and Additional Insurances have been renewed and maintained;</w:t>
      </w:r>
    </w:p>
    <w:p w:rsidR="00000000" w:rsidDel="00000000" w:rsidP="00000000" w:rsidRDefault="00000000" w:rsidRPr="00000000" w14:paraId="0000001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invoice payment performance; and</w:t>
      </w:r>
    </w:p>
    <w:p w:rsidR="00000000" w:rsidDel="00000000" w:rsidP="00000000" w:rsidRDefault="00000000" w:rsidRPr="00000000" w14:paraId="0000001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verification of required accreditations &amp; certifications.</w:t>
      </w:r>
    </w:p>
    <w:p w:rsidR="00000000" w:rsidDel="00000000" w:rsidP="00000000" w:rsidRDefault="00000000" w:rsidRPr="00000000" w14:paraId="0000001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Suppliers should participate in further competitions when identified as part of the final bidder list. Failure to bid on further competitions without an acceptable reason may result in the Supplier being suspended from the Framework, in accordance with Clause 10.7 (Partially ending and suspending the contract), for a period as decided by CCS. </w:t>
      </w:r>
    </w:p>
    <w:p w:rsidR="00000000" w:rsidDel="00000000" w:rsidP="00000000" w:rsidRDefault="00000000" w:rsidRPr="00000000" w14:paraId="0000001A">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Review Meetings</w:t>
      </w:r>
    </w:p>
    <w:p w:rsidR="00000000" w:rsidDel="00000000" w:rsidP="00000000" w:rsidRDefault="00000000" w:rsidRPr="00000000" w14:paraId="0000001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 performance review meetings will take place at CCS’s premises throughout the Framework Contract Period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("Supplier Review Meetings")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at such times and frequencies as CCS determine from time to time (which are anticipated to be once every Month or less)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Parties shall be flexible about the timings of these meetings.</w:t>
      </w: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Review Meetings will review the Supplier’s performance under this Contract and, where applicable, the Supplier’s adherence to the Supplier Action Plan. The agenda for each Supplier Review Meeting shall be set by CCS and sent to the Supplier in advance.</w:t>
      </w: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may ask the Supplier to discuss any instances known to the Supplier where any Other Contracting Authority decided not to use this Framework Contract for their order.</w:t>
      </w: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Review Meetings shall be attended, as a minimum, by CCS Representative(s) and the Supplier Framework Manager.</w:t>
      </w:r>
      <w:r w:rsidDel="00000000" w:rsidR="00000000" w:rsidRPr="00000000">
        <w:rPr>
          <w:rtl w:val="0"/>
        </w:rPr>
      </w:r>
    </w:p>
    <w:p w:rsidR="00000000" w:rsidDel="00000000" w:rsidP="00000000" w:rsidRDefault="00000000" w:rsidRPr="00000000" w14:paraId="0000001F">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Supplier’s Performance will be measured</w:t>
      </w:r>
    </w:p>
    <w:p w:rsidR="00000000" w:rsidDel="00000000" w:rsidP="00000000" w:rsidRDefault="00000000" w:rsidRPr="00000000" w14:paraId="00000020">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performance will be measured by the following Performance Indicators (“PI”):</w:t>
      </w:r>
    </w:p>
    <w:tbl>
      <w:tblPr>
        <w:tblStyle w:val="Table2"/>
        <w:tblW w:w="9016.0" w:type="dxa"/>
        <w:jc w:val="left"/>
        <w:tblInd w:w="0.0" w:type="dxa"/>
        <w:tblLayout w:type="fixed"/>
        <w:tblLook w:val="0400"/>
      </w:tblPr>
      <w:tblGrid>
        <w:gridCol w:w="564"/>
        <w:gridCol w:w="2947"/>
        <w:gridCol w:w="2483"/>
        <w:gridCol w:w="3022"/>
        <w:tblGridChange w:id="0">
          <w:tblGrid>
            <w:gridCol w:w="564"/>
            <w:gridCol w:w="2947"/>
            <w:gridCol w:w="2483"/>
            <w:gridCol w:w="3022"/>
          </w:tblGrid>
        </w:tblGridChange>
      </w:tblGrid>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d9d9d9" w:val="clear"/>
            <w:tcMar>
              <w:top w:w="0.0" w:type="dxa"/>
              <w:left w:w="115.0" w:type="dxa"/>
              <w:bottom w:w="0.0" w:type="dxa"/>
              <w:right w:w="115.0" w:type="dxa"/>
            </w:tcMar>
          </w:tcPr>
          <w:p w:rsidR="00000000" w:rsidDel="00000000" w:rsidP="00000000" w:rsidRDefault="00000000" w:rsidRPr="00000000" w14:paraId="00000021">
            <w:pPr>
              <w:spacing w:after="80" w:before="80" w:line="240" w:lineRule="auto"/>
              <w:ind w:left="142" w:firstLine="0"/>
              <w:rPr>
                <w:rFonts w:ascii="Times New Roman" w:cs="Times New Roman" w:eastAsia="Times New Roman" w:hAnsi="Times New Roman"/>
                <w:sz w:val="24"/>
                <w:szCs w:val="24"/>
              </w:rPr>
            </w:pPr>
            <w:r w:rsidDel="00000000" w:rsidR="00000000" w:rsidRPr="00000000">
              <w:rPr>
                <w:rFonts w:ascii="Arial" w:cs="Arial" w:eastAsia="Arial" w:hAnsi="Arial"/>
                <w:b w:val="1"/>
                <w:color w:val="000000"/>
                <w:sz w:val="24"/>
                <w:szCs w:val="24"/>
                <w:rtl w:val="0"/>
              </w:rPr>
              <w:t xml:space="preserve">Performance Indicator (PI)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tcMar>
              <w:top w:w="0.0" w:type="dxa"/>
              <w:left w:w="115.0" w:type="dxa"/>
              <w:bottom w:w="0.0" w:type="dxa"/>
              <w:right w:w="115.0" w:type="dxa"/>
            </w:tcMar>
            <w:vAlign w:val="center"/>
          </w:tcPr>
          <w:p w:rsidR="00000000" w:rsidDel="00000000" w:rsidP="00000000" w:rsidRDefault="00000000" w:rsidRPr="00000000" w14:paraId="00000023">
            <w:pPr>
              <w:spacing w:after="80" w:before="80" w:line="240" w:lineRule="auto"/>
              <w:ind w:left="142" w:firstLine="0"/>
              <w:rPr>
                <w:rFonts w:ascii="Times New Roman" w:cs="Times New Roman" w:eastAsia="Times New Roman" w:hAnsi="Times New Roman"/>
                <w:sz w:val="24"/>
                <w:szCs w:val="24"/>
              </w:rPr>
            </w:pPr>
            <w:r w:rsidDel="00000000" w:rsidR="00000000" w:rsidRPr="00000000">
              <w:rPr>
                <w:rFonts w:ascii="Arial" w:cs="Arial" w:eastAsia="Arial" w:hAnsi="Arial"/>
                <w:b w:val="1"/>
                <w:color w:val="000000"/>
                <w:sz w:val="24"/>
                <w:szCs w:val="24"/>
                <w:rtl w:val="0"/>
              </w:rPr>
              <w:t xml:space="preserve">PI Target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tcMar>
              <w:top w:w="0.0" w:type="dxa"/>
              <w:left w:w="115.0" w:type="dxa"/>
              <w:bottom w:w="0.0" w:type="dxa"/>
              <w:right w:w="115.0" w:type="dxa"/>
            </w:tcMar>
            <w:vAlign w:val="center"/>
          </w:tcPr>
          <w:p w:rsidR="00000000" w:rsidDel="00000000" w:rsidP="00000000" w:rsidRDefault="00000000" w:rsidRPr="00000000" w14:paraId="00000024">
            <w:pPr>
              <w:spacing w:after="80" w:before="80" w:line="240" w:lineRule="auto"/>
              <w:ind w:left="142" w:firstLine="0"/>
              <w:rPr>
                <w:rFonts w:ascii="Times New Roman" w:cs="Times New Roman" w:eastAsia="Times New Roman" w:hAnsi="Times New Roman"/>
                <w:sz w:val="24"/>
                <w:szCs w:val="24"/>
              </w:rPr>
            </w:pPr>
            <w:r w:rsidDel="00000000" w:rsidR="00000000" w:rsidRPr="00000000">
              <w:rPr>
                <w:rFonts w:ascii="Arial" w:cs="Arial" w:eastAsia="Arial" w:hAnsi="Arial"/>
                <w:b w:val="1"/>
                <w:color w:val="000000"/>
                <w:sz w:val="24"/>
                <w:szCs w:val="24"/>
                <w:rtl w:val="0"/>
              </w:rPr>
              <w:t xml:space="preserve">Measured by</w:t>
            </w:r>
            <w:r w:rsidDel="00000000" w:rsidR="00000000" w:rsidRPr="00000000">
              <w:rPr>
                <w:rtl w:val="0"/>
              </w:rPr>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25">
            <w:pPr>
              <w:spacing w:after="80" w:before="8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1.1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26">
            <w:pPr>
              <w:spacing w:after="80" w:before="8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All Management Information returns to be returned to CCS by the 7th working day of each month</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27">
            <w:pPr>
              <w:spacing w:after="80" w:before="8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100% accuracy in terms of completeness of income, timeliness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28">
            <w:pPr>
              <w:spacing w:after="80" w:before="8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Confirmation of time of receipt by CCS (as evidenced within the CCS’s data warehouse (MISO) system)</w:t>
            </w:r>
            <w:r w:rsidDel="00000000" w:rsidR="00000000" w:rsidRPr="00000000">
              <w:rPr>
                <w:rtl w:val="0"/>
              </w:rPr>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29">
            <w:pPr>
              <w:spacing w:after="80" w:before="8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1.2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2A">
            <w:pPr>
              <w:spacing w:after="80" w:before="8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All valid CCS invoices to be paid within 30 calendar days of issue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2B">
            <w:pPr>
              <w:spacing w:after="80" w:before="8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100% Accuracy, timeliness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2C">
            <w:pPr>
              <w:spacing w:after="80" w:before="8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Confirmation of receipt and time of receipt by CCS (as evidenced within CCS’s CODA system)</w:t>
            </w:r>
            <w:r w:rsidDel="00000000" w:rsidR="00000000" w:rsidRPr="00000000">
              <w:rPr>
                <w:rtl w:val="0"/>
              </w:rPr>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2D">
            <w:pPr>
              <w:spacing w:after="80" w:before="8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1.3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2E">
            <w:pPr>
              <w:spacing w:after="80" w:before="8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Supplier self-audit certificate to be issued to CCS in accordance with the Framework Agreement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2F">
            <w:pPr>
              <w:spacing w:after="80" w:before="8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100% Accuracy, timeliness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30">
            <w:pPr>
              <w:spacing w:after="80" w:before="8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Confirmation of receipt and time of receipt by CCS</w:t>
            </w:r>
            <w:r w:rsidDel="00000000" w:rsidR="00000000" w:rsidRPr="00000000">
              <w:rPr>
                <w:rtl w:val="0"/>
              </w:rPr>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31">
            <w:pPr>
              <w:spacing w:after="80" w:before="8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1.4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32">
            <w:pPr>
              <w:spacing w:after="80" w:before="8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Actions identified in an Audit Report to be delivered by the dates set out in the Audit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33">
            <w:pPr>
              <w:spacing w:after="80" w:before="8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100% Accuracy, timeliness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34">
            <w:pPr>
              <w:spacing w:after="80" w:before="8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Confirmation of receipt and time of receipt by CCS</w:t>
            </w:r>
            <w:r w:rsidDel="00000000" w:rsidR="00000000" w:rsidRPr="00000000">
              <w:rPr>
                <w:rtl w:val="0"/>
              </w:rPr>
            </w:r>
          </w:p>
        </w:tc>
      </w:tr>
    </w:tbl>
    <w:p w:rsidR="00000000" w:rsidDel="00000000" w:rsidP="00000000" w:rsidRDefault="00000000" w:rsidRPr="00000000" w14:paraId="0000003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the PIs and establish processes to monitor its performance against them and the Supplier’s achievement of PIs shall be reviewed during the Supplier Review Meetings. </w:t>
      </w:r>
    </w:p>
    <w:p w:rsidR="00000000" w:rsidDel="00000000" w:rsidP="00000000" w:rsidRDefault="00000000" w:rsidRPr="00000000" w14:paraId="0000003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reserves the right to adjust, introduce new, or remove PIs throughout the Framework Contract Period, however any significant changes to PIs shall be agreed between CCS and the Supplier in accordance with the Variation Procedure.</w:t>
      </w:r>
    </w:p>
    <w:p w:rsidR="00000000" w:rsidDel="00000000" w:rsidP="00000000" w:rsidRDefault="00000000" w:rsidRPr="00000000" w14:paraId="0000003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reserves the right to use and publish the performance of the Supplier against the PIs without restriction.</w:t>
      </w:r>
    </w:p>
    <w:p w:rsidR="00000000" w:rsidDel="00000000" w:rsidP="00000000" w:rsidRDefault="00000000" w:rsidRPr="00000000" w14:paraId="00000038">
      <w:pPr>
        <w:keepNext w:val="0"/>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the Supplier must do to measure their performance</w:t>
      </w:r>
    </w:p>
    <w:p w:rsidR="00000000" w:rsidDel="00000000" w:rsidP="00000000" w:rsidRDefault="00000000" w:rsidRPr="00000000" w14:paraId="00000039">
      <w:pPr>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cooperate in good faith with CCS to develop efficiency tracking performance measures for this Contract. This shall include the following (but this list is not exhaustive and may be developed during the Framework Contract Period): </w:t>
      </w:r>
    </w:p>
    <w:p w:rsidR="00000000" w:rsidDel="00000000" w:rsidP="00000000" w:rsidRDefault="00000000" w:rsidRPr="00000000" w14:paraId="0000003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tracking reductions in product volumes and product costs, in order to demonstrate that Buyers are consuming less and buying more smartly; </w:t>
      </w:r>
    </w:p>
    <w:p w:rsidR="00000000" w:rsidDel="00000000" w:rsidP="00000000" w:rsidRDefault="00000000" w:rsidRPr="00000000" w14:paraId="0000003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developing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rsidR="00000000" w:rsidDel="00000000" w:rsidP="00000000" w:rsidRDefault="00000000" w:rsidRPr="00000000" w14:paraId="0000003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metrics that are to be implemented to measure efficiency shall be developed and agreed between CCS and the Supplier. Such metrics shall be incorporated into the list of PIs set out in this Schedule.</w:t>
      </w:r>
    </w:p>
    <w:p w:rsidR="00000000" w:rsidDel="00000000" w:rsidP="00000000" w:rsidRDefault="00000000" w:rsidRPr="00000000" w14:paraId="0000003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ongoing progress and development of the efficiency tracking performance measures shall be reported through framework management activities as outlined in this Schedule.</w:t>
      </w:r>
    </w:p>
    <w:p w:rsidR="00000000" w:rsidDel="00000000" w:rsidP="00000000" w:rsidRDefault="00000000" w:rsidRPr="00000000" w14:paraId="0000003E">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to do if CCS and the Supplier can’t agree about the performance </w:t>
      </w:r>
    </w:p>
    <w:p w:rsidR="00000000" w:rsidDel="00000000" w:rsidP="00000000" w:rsidRDefault="00000000" w:rsidRPr="00000000" w14:paraId="0000003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CCS and the Supplier are unable to agree the performance score for any PI during a Supplier Review Meeting, the disputed score shall be recorded and the matter shall be referred to CCS Authorised Representative and the Supplier Authorised Representative in order to determine the best course of action to resolve the matter (which may involve organising an ad-hoc meeting to discuss the performance issue specifically).</w:t>
      </w:r>
    </w:p>
    <w:p w:rsidR="00000000" w:rsidDel="00000000" w:rsidP="00000000" w:rsidRDefault="00000000" w:rsidRPr="00000000" w14:paraId="0000004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cases where CCS Authorised Representative and the Supplier Authorised Representative fail to reach a solution within a reasonable period of time, the matter shall be referred to the Dispute Resolution Procedure.</w:t>
      </w:r>
    </w:p>
    <w:p w:rsidR="00000000" w:rsidDel="00000000" w:rsidP="00000000" w:rsidRDefault="00000000" w:rsidRPr="00000000" w14:paraId="00000041">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Marketing</w:t>
      </w:r>
    </w:p>
    <w:p w:rsidR="00000000" w:rsidDel="00000000" w:rsidP="00000000" w:rsidRDefault="00000000" w:rsidRPr="00000000" w14:paraId="0000004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 person is appointed as Supplier Marketing Contact who shall be responsible for the marketing obligations of the Supplier in relation to this Contract. </w:t>
      </w:r>
    </w:p>
    <w:p w:rsidR="00000000" w:rsidDel="00000000" w:rsidP="00000000" w:rsidRDefault="00000000" w:rsidRPr="00000000" w14:paraId="00000043">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 must contribute to CCS publications</w:t>
      </w:r>
    </w:p>
    <w:p w:rsidR="00000000" w:rsidDel="00000000" w:rsidP="00000000" w:rsidRDefault="00000000" w:rsidRPr="00000000" w14:paraId="0000004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supply current information relating to the Goods and/or Services it offers for inclusion in CCS marketing materials when required by CCS from time to time.</w:t>
      </w:r>
    </w:p>
    <w:p w:rsidR="00000000" w:rsidDel="00000000" w:rsidP="00000000" w:rsidRDefault="00000000" w:rsidRPr="00000000" w14:paraId="0000004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information shall be provided in such form and at such time as CCS may request.</w:t>
      </w:r>
    </w:p>
    <w:p w:rsidR="00000000" w:rsidDel="00000000" w:rsidP="00000000" w:rsidRDefault="00000000" w:rsidRPr="00000000" w14:paraId="0000004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Failure to comply with the provisions of Paragraphs 7.2 and 7.3 may result in the Supplier's exclusion from the use of such marketing materials.</w:t>
      </w:r>
    </w:p>
    <w:p w:rsidR="00000000" w:rsidDel="00000000" w:rsidP="00000000" w:rsidRDefault="00000000" w:rsidRPr="00000000" w14:paraId="00000047">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Suppliers can say in its own publications</w:t>
      </w:r>
    </w:p>
    <w:p w:rsidR="00000000" w:rsidDel="00000000" w:rsidP="00000000" w:rsidRDefault="00000000" w:rsidRPr="00000000" w14:paraId="0000004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marketing materials produced by the Supplier in relation to this Framework shall at all times comply with the CCS branding guidance at</w:t>
        <w:tab/>
        <w:t xml:space="preserve"> </w:t>
      </w:r>
      <w:hyperlink r:id="rId7">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https://www.gov.uk/government/publications/crown-commercial-service-supplier-logo-and-brand-guidelines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4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periodically update and revise its marketing materials to ensure ongoing compliance.</w:t>
      </w:r>
    </w:p>
    <w:p w:rsidR="00000000" w:rsidDel="00000000" w:rsidP="00000000" w:rsidRDefault="00000000" w:rsidRPr="00000000" w14:paraId="0000004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regularly review the content of any information which appears on its website and which relates to each Contract and ensure that such information is up to date at all times.</w:t>
      </w:r>
    </w:p>
    <w:p w:rsidR="00000000" w:rsidDel="00000000" w:rsidP="00000000" w:rsidRDefault="00000000" w:rsidRPr="00000000" w14:paraId="0000004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to its reasonable satisfaction within one (1) Month of receipt of such notice, shall have the right to remove such content itself or require that the Supplier immediately arranges the removal of such content.</w:t>
      </w:r>
    </w:p>
    <w:p w:rsidR="00000000" w:rsidDel="00000000" w:rsidP="00000000" w:rsidRDefault="00000000" w:rsidRPr="00000000" w14:paraId="0000004C">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Where CCS might oversee parts of the Call-Off Contracts</w:t>
      </w:r>
    </w:p>
    <w:p w:rsidR="00000000" w:rsidDel="00000000" w:rsidP="00000000" w:rsidRDefault="00000000" w:rsidRPr="00000000" w14:paraId="0000004D">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have oversight of certain processes which are operated under Call-Off Contracts. Such oversight shall be provided in relation to the operation of the following Schedules in each Call-Off Contract:</w:t>
      </w:r>
    </w:p>
    <w:p w:rsidR="00000000" w:rsidDel="00000000" w:rsidP="00000000" w:rsidRDefault="00000000" w:rsidRPr="00000000" w14:paraId="0000004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1" w:right="0" w:hanging="72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3 (Continuous Improvement);]</w:t>
      </w:r>
    </w:p>
    <w:p w:rsidR="00000000" w:rsidDel="00000000" w:rsidP="00000000" w:rsidRDefault="00000000" w:rsidRPr="00000000" w14:paraId="0000004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1"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8 (Business Continuity and Disaster Recovery);]</w:t>
      </w:r>
    </w:p>
    <w:p w:rsidR="00000000" w:rsidDel="00000000" w:rsidP="00000000" w:rsidRDefault="00000000" w:rsidRPr="00000000" w14:paraId="0000005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9 (Security); and]</w:t>
      </w:r>
    </w:p>
    <w:p w:rsidR="00000000" w:rsidDel="00000000" w:rsidP="00000000" w:rsidRDefault="00000000" w:rsidRPr="00000000" w14:paraId="0000005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16 (Benchmarking).]</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216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"Supported Schedules"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53">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 must support CCS involvement</w:t>
      </w:r>
    </w:p>
    <w:p w:rsidR="00000000" w:rsidDel="00000000" w:rsidP="00000000" w:rsidRDefault="00000000" w:rsidRPr="00000000" w14:paraId="00000054">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co-operate as reasonably required by CCS in relation to the Supported Schedules including:</w:t>
      </w:r>
    </w:p>
    <w:p w:rsidR="00000000" w:rsidDel="00000000" w:rsidP="00000000" w:rsidRDefault="00000000" w:rsidRPr="00000000" w14:paraId="0000005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 of information;</w:t>
      </w:r>
    </w:p>
    <w:p w:rsidR="00000000" w:rsidDel="00000000" w:rsidP="00000000" w:rsidRDefault="00000000" w:rsidRPr="00000000" w14:paraId="0000005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allowing CCS to act as agent for the Buyers under the Supported Schedules for such matters as CCS may notify to the Supplier from time to time; and</w:t>
      </w:r>
    </w:p>
    <w:p w:rsidR="00000000" w:rsidDel="00000000" w:rsidP="00000000" w:rsidRDefault="00000000" w:rsidRPr="00000000" w14:paraId="0000005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matters as CCS may notify to the Supplier from time to time.</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Where CCS might manage the process for Buyers collectively </w:t>
      </w:r>
    </w:p>
    <w:p w:rsidR="00000000" w:rsidDel="00000000" w:rsidP="00000000" w:rsidRDefault="00000000" w:rsidRPr="00000000" w14:paraId="00000059">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general oversight as referred to above the following specific oversight shall apply to the individual Supported Schedules:</w:t>
      </w:r>
    </w:p>
    <w:p w:rsidR="00000000" w:rsidDel="00000000" w:rsidP="00000000" w:rsidRDefault="00000000" w:rsidRPr="00000000" w14:paraId="0000005A">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 Note: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provisions in Paragraph 8 are to be included where CCS would be better placed to provide support on behalf of the Buyer community as a whole in these areas.]</w:t>
      </w:r>
      <w:r w:rsidDel="00000000" w:rsidR="00000000" w:rsidRPr="00000000">
        <w:rPr>
          <w:rtl w:val="0"/>
        </w:rPr>
      </w:r>
    </w:p>
    <w:p w:rsidR="00000000" w:rsidDel="00000000" w:rsidP="00000000" w:rsidRDefault="00000000" w:rsidRPr="00000000" w14:paraId="0000005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1"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3 (Continuous Improvement) - the Supplier shall:</w:t>
      </w:r>
    </w:p>
    <w:p w:rsidR="00000000" w:rsidDel="00000000" w:rsidP="00000000" w:rsidRDefault="00000000" w:rsidRPr="00000000" w14:paraId="0000005C">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adopt a policy of continuous improvement in relation to the Deliverables;</w:t>
      </w:r>
    </w:p>
    <w:p w:rsidR="00000000" w:rsidDel="00000000" w:rsidP="00000000" w:rsidRDefault="00000000" w:rsidRPr="00000000" w14:paraId="0000005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maintain and update a continuous improvement plan for improving the provision of the Deliverables and/or reducing the Charges and, where requested by CCS, incorporate any improvement identified in accordance with the Variation Procedure.]</w:t>
      </w:r>
    </w:p>
    <w:p w:rsidR="00000000" w:rsidDel="00000000" w:rsidP="00000000" w:rsidRDefault="00000000" w:rsidRPr="00000000" w14:paraId="0000005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1"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8 (Business Continuity and Disaster Recovery) - the Supplier shall:</w:t>
      </w:r>
    </w:p>
    <w:p w:rsidR="00000000" w:rsidDel="00000000" w:rsidP="00000000" w:rsidRDefault="00000000" w:rsidRPr="00000000" w14:paraId="0000005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hold a template BCDR plan that can be used by each Buyer and shall make it available to CCS so that it can be published to potential Buyers; and</w:t>
      </w:r>
    </w:p>
    <w:p w:rsidR="00000000" w:rsidDel="00000000" w:rsidP="00000000" w:rsidRDefault="00000000" w:rsidRPr="00000000" w14:paraId="0000006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CCS in the event of the invocation or potential invocation of any BCDR plan and the Supplier shall provide such support as CCS may reasonably require to coordinate the application of BCDR plans across all Call Off Contracts.]</w:t>
      </w:r>
    </w:p>
    <w:p w:rsidR="00000000" w:rsidDel="00000000" w:rsidP="00000000" w:rsidRDefault="00000000" w:rsidRPr="00000000" w14:paraId="0000006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9 (Security) - the Supplier shall:</w:t>
      </w:r>
    </w:p>
    <w:p w:rsidR="00000000" w:rsidDel="00000000" w:rsidP="00000000" w:rsidRDefault="00000000" w:rsidRPr="00000000" w14:paraId="00000062">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552" w:right="0" w:hanging="4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hold a template Security Plan that can be used by each Buyer and shall make it available to CCS so that it can be published to potential Buyers; and</w:t>
      </w:r>
    </w:p>
    <w:p w:rsidR="00000000" w:rsidDel="00000000" w:rsidP="00000000" w:rsidRDefault="00000000" w:rsidRPr="00000000" w14:paraId="00000063">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552"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CCS in the event of breach of any Security Plan and the Supplier shall provide such support as CCS may reasonably require to coordinate the application of Security Plans across all Call Off Contracts.]</w:t>
      </w:r>
    </w:p>
    <w:p w:rsidR="00000000" w:rsidDel="00000000" w:rsidP="00000000" w:rsidRDefault="00000000" w:rsidRPr="00000000" w14:paraId="0000006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16 (Benchmarking) - the Supplier:</w:t>
      </w:r>
    </w:p>
    <w:p w:rsidR="00000000" w:rsidDel="00000000" w:rsidP="00000000" w:rsidRDefault="00000000" w:rsidRPr="00000000" w14:paraId="00000065">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98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notify CCS in the event that any benchmarker is appoint in respect of any Call Off Contract and the Supplier recognises that CCS may want to co-ordinate how benchmarking is conducted across multiple Call Off Contracts;</w:t>
      </w:r>
    </w:p>
    <w:p w:rsidR="00000000" w:rsidDel="00000000" w:rsidP="00000000" w:rsidRDefault="00000000" w:rsidRPr="00000000" w14:paraId="00000066">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552"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where CCS is appointed as agent by Buyers in respect of benchmarking, co-operate with CCS in order to operate the benchmarking as efficiently as possible;</w:t>
      </w:r>
    </w:p>
    <w:p w:rsidR="00000000" w:rsidDel="00000000" w:rsidP="00000000" w:rsidRDefault="00000000" w:rsidRPr="00000000" w14:paraId="00000067">
      <w:pPr>
        <w:keepNext w:val="1"/>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552"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agrees that notwithstanding the remainder of Clause 15 (Confidentiality) in the Core Terms, CCS shall be entitled to publish the results of any benchmarking of the Framework Prices to Other Contracting Authorities (subject to the other party entering into reasonable confidentiality undertakings).]</w:t>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Arial"/>
  <w:font w:name="Georgia"/>
  <w:font w:name="Times New Roman"/>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C">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tab/>
    </w: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F">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RM6244</w:t>
      <w:tab/>
      <w:t xml:space="preserve">                                           </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1">
    <w:pPr>
      <w:spacing w:after="0" w:line="240" w:lineRule="auto"/>
      <w:jc w:val="both"/>
      <w:rPr/>
    </w:pPr>
    <w:r w:rsidDel="00000000" w:rsidR="00000000" w:rsidRPr="00000000">
      <w:rPr>
        <w:rFonts w:ascii="Arial" w:cs="Arial" w:eastAsia="Arial" w:hAnsi="Arial"/>
        <w:sz w:val="20"/>
        <w:szCs w:val="20"/>
        <w:rtl w:val="0"/>
      </w:rPr>
      <w:t xml:space="preserve">Model Version: v3.4</w:t>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4 (Framework Management)</w:t>
    </w: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4 (Framework Management)</w:t>
    </w: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20"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tabs>
        <w:tab w:val="left" w:pos="-5585"/>
      </w:tabs>
      <w:spacing w:after="120" w:line="240" w:lineRule="auto"/>
      <w:ind w:left="2665" w:hanging="964"/>
      <w:jc w:val="both"/>
    </w:pPr>
    <w:rPr>
      <w:rFonts w:ascii="Arial" w:cs="Arial" w:eastAsia="Arial" w:hAnsi="Arial"/>
    </w:rPr>
  </w:style>
  <w:style w:type="paragraph" w:styleId="Heading6">
    <w:name w:val="heading 6"/>
    <w:basedOn w:val="Normal"/>
    <w:next w:val="Normal"/>
    <w:pPr>
      <w:tabs>
        <w:tab w:val="left" w:pos="-8987"/>
        <w:tab w:val="left" w:pos="-8420"/>
      </w:tabs>
      <w:spacing w:after="120" w:line="240" w:lineRule="auto"/>
      <w:ind w:left="3799" w:hanging="1133.9999999999998"/>
      <w:jc w:val="both"/>
    </w:pPr>
    <w:rPr>
      <w:rFonts w:ascii="Arial" w:cs="Arial" w:eastAsia="Arial" w:hAnsi="Arial"/>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semiHidden w:val="1"/>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cs="Times New Roman" w:eastAsia="Times New Roman" w:hAnsi="Arial"/>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val="1"/>
    <w:qFormat w:val="1"/>
    <w:pPr>
      <w:keepNext w:val="1"/>
      <w:keepLines w:val="1"/>
      <w:spacing w:after="0" w:before="200"/>
      <w:outlineLvl w:val="7"/>
    </w:pPr>
    <w:rPr>
      <w:rFonts w:asciiTheme="majorHAnsi" w:cstheme="majorBidi" w:eastAsiaTheme="majorEastAsia" w:hAnsiTheme="majorHAnsi"/>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2"/>
      </w:numPr>
      <w:tabs>
        <w:tab w:val="left" w:pos="142"/>
      </w:tabs>
      <w:adjustRightInd w:val="0"/>
      <w:spacing w:after="240" w:before="120" w:line="240" w:lineRule="auto"/>
      <w:ind w:left="426" w:hanging="426"/>
      <w:jc w:val="both"/>
      <w:outlineLvl w:val="1"/>
    </w:pPr>
    <w:rPr>
      <w:rFonts w:ascii="Calibri" w:cs="Arial" w:eastAsia="STZhongsong" w:hAnsi="Calibri"/>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adjustRightInd w:val="0"/>
      <w:spacing w:after="120" w:before="120" w:line="240" w:lineRule="auto"/>
      <w:ind w:left="1656"/>
      <w:jc w:val="both"/>
    </w:pPr>
    <w:rPr>
      <w:rFonts w:ascii="Calibri" w:cs="Arial" w:eastAsia="Times New Roman" w:hAnsi="Calibri"/>
      <w:lang w:eastAsia="zh-CN"/>
    </w:rPr>
  </w:style>
  <w:style w:type="paragraph" w:styleId="GPSL4numberedclause" w:customStyle="1">
    <w:name w:val="GPS L4 numbered clause"/>
    <w:basedOn w:val="GPSL3numberedclause"/>
    <w:qFormat w:val="1"/>
    <w:pPr>
      <w:numPr>
        <w:ilvl w:val="3"/>
      </w:numPr>
      <w:tabs>
        <w:tab w:val="clear" w:pos="1985"/>
      </w:tabs>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adjustRightInd w:val="0"/>
      <w:spacing w:after="120" w:before="120" w:line="240" w:lineRule="auto"/>
      <w:ind w:left="936" w:hanging="576"/>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overflowPunct w:val="0"/>
      <w:autoSpaceDE w:val="0"/>
      <w:autoSpaceDN w:val="0"/>
      <w:adjustRightInd w:val="0"/>
      <w:spacing w:after="120" w:line="240" w:lineRule="auto"/>
      <w:jc w:val="both"/>
      <w:textAlignment w:val="baseline"/>
    </w:pPr>
    <w:rPr>
      <w:rFonts w:ascii="Calibri" w:cs="Arial" w:eastAsia="Times New Roman" w:hAnsi="Calibri"/>
    </w:r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Calibri" w:cs="Arial" w:eastAsia="Times New Roman" w:hAnsi="Calibri"/>
      <w:b w:val="1"/>
    </w:rPr>
  </w:style>
  <w:style w:type="paragraph" w:styleId="GPSL1SCHEDULEHeading" w:customStyle="1">
    <w:name w:val="GPS L1 SCHEDULE Heading"/>
    <w:basedOn w:val="GPSL1CLAUSEHEADING"/>
    <w:link w:val="GPSL1SCHEDULEHeadingChar"/>
    <w:qFormat w:val="1"/>
    <w:rsid w:val="005C6957"/>
    <w:pPr>
      <w:ind w:left="360" w:hanging="360"/>
      <w:outlineLvl w:val="9"/>
    </w:pPr>
    <w:rPr>
      <w:caps w:val="0"/>
    </w:rPr>
  </w:style>
  <w:style w:type="paragraph" w:styleId="GPSL3Guidance" w:customStyle="1">
    <w:name w:val="GPS L3 Guidance"/>
    <w:basedOn w:val="GPSL3numberedclause"/>
    <w:link w:val="GPSL3GuidanceChar"/>
    <w:qFormat w:val="1"/>
    <w:pPr>
      <w:numPr>
        <w:ilvl w:val="0"/>
        <w:numId w:val="0"/>
      </w:numPr>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L2Numbered" w:customStyle="1">
    <w:name w:val="GPS L2 Numbered"/>
    <w:basedOn w:val="GPSL2NumberedBoldHeading"/>
    <w:link w:val="GPSL2NumberedChar"/>
    <w:qFormat w:val="1"/>
    <w:pPr>
      <w:tabs>
        <w:tab w:val="clear" w:pos="1134"/>
      </w:tabs>
      <w:ind w:left="720"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sid w:val="005C6957"/>
    <w:rPr>
      <w:rFonts w:ascii="Calibri" w:cs="Arial" w:eastAsia="STZhongsong" w:hAnsi="Calibri"/>
      <w:b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Heading8Char" w:customStyle="1">
    <w:name w:val="Heading 8 Char"/>
    <w:basedOn w:val="DefaultParagraphFont"/>
    <w:link w:val="Heading8"/>
    <w:rPr>
      <w:rFonts w:asciiTheme="majorHAnsi" w:cstheme="majorBidi" w:eastAsiaTheme="majorEastAsia" w:hAnsiTheme="majorHAnsi"/>
      <w:color w:val="404040" w:themeColor="text1" w:themeTint="0000BF"/>
      <w:sz w:val="20"/>
      <w:szCs w:val="20"/>
    </w:rPr>
  </w:style>
  <w:style w:type="character" w:styleId="Heading5Char" w:customStyle="1">
    <w:name w:val="Heading 5 Char"/>
    <w:basedOn w:val="DefaultParagraphFont"/>
    <w:link w:val="Heading5"/>
    <w:rPr>
      <w:rFonts w:ascii="Arial" w:cs="Times New Roman" w:eastAsia="Times New Roman" w:hAnsi="Arial"/>
    </w:rPr>
  </w:style>
  <w:style w:type="character" w:styleId="Heading6Char" w:customStyle="1">
    <w:name w:val="Heading 6 Char"/>
    <w:basedOn w:val="DefaultParagraphFont"/>
    <w:link w:val="Heading6"/>
    <w:rPr>
      <w:rFonts w:ascii="Arial" w:cs="Times New Roman" w:eastAsia="Times New Roman" w:hAnsi="Arial"/>
    </w:rPr>
  </w:style>
  <w:style w:type="character" w:styleId="Heading7Char" w:customStyle="1">
    <w:name w:val="Heading 7 Char"/>
    <w:basedOn w:val="DefaultParagraphFont"/>
    <w:link w:val="Heading7"/>
    <w:rPr>
      <w:rFonts w:ascii="Arial" w:cs="Times New Roman" w:eastAsia="Times New Roman" w:hAnsi="Arial"/>
    </w:rPr>
  </w:style>
  <w:style w:type="numbering" w:styleId="WWOutlineListStyle8" w:customStyle="1">
    <w:name w:val="WW_OutlineListStyle_8"/>
    <w:basedOn w:val="NoList"/>
    <w:pPr>
      <w:numPr>
        <w:numId w:val="4"/>
      </w:numPr>
    </w:pPr>
  </w:style>
  <w:style w:type="character" w:styleId="Hyperlink">
    <w:name w:val="Hyperlink"/>
    <w:basedOn w:val="DefaultParagraphFont"/>
    <w:uiPriority w:val="99"/>
    <w:unhideWhenUsed w:val="1"/>
    <w:rPr>
      <w:color w:val="0000ff" w:themeColor="hyperlink"/>
      <w:u w:val="single"/>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style>
  <w:style w:type="paragraph" w:styleId="GPSL2numberedclause" w:customStyle="1">
    <w:name w:val="GPS L2 numbered clause"/>
    <w:basedOn w:val="Normal"/>
    <w:link w:val="GPSL2numberedclauseChar1"/>
    <w:qFormat w:val="1"/>
    <w:pPr>
      <w:tabs>
        <w:tab w:val="num" w:pos="720"/>
        <w:tab w:val="left" w:pos="1134"/>
      </w:tabs>
      <w:adjustRightInd w:val="0"/>
      <w:spacing w:after="120" w:before="120" w:line="240" w:lineRule="auto"/>
      <w:ind w:left="720" w:hanging="720"/>
      <w:jc w:val="both"/>
    </w:pPr>
    <w:rPr>
      <w:rFonts w:ascii="Calibri" w:cs="Arial" w:eastAsia="Times New Roman" w:hAnsi="Calibri"/>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Heading2Char" w:customStyle="1">
    <w:name w:val="Heading 2 Char"/>
    <w:basedOn w:val="DefaultParagraphFont"/>
    <w:link w:val="Heading2"/>
    <w:uiPriority w:val="9"/>
    <w:semiHidden w:val="1"/>
    <w:rPr>
      <w:rFonts w:asciiTheme="majorHAnsi" w:cstheme="majorBidi" w:eastAsiaTheme="majorEastAsia" w:hAnsiTheme="majorHAnsi"/>
      <w:b w:val="1"/>
      <w:bCs w:val="1"/>
      <w:color w:val="4f81bd" w:themeColor="accent1"/>
      <w:sz w:val="26"/>
      <w:szCs w:val="2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crown-commercial-service-supplier-logo-and-brand-guidelines"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8LFoWC1yyelw8+xnfqYgMBQg0KA==">AMUW2mUuGaB16iLmnOXquFbf2pgR8SVjH1RJCjBIayp1z9IuiTBuwxlowVOhyyLGSziOcSXr41IZjun6Rejs3/M0XevPClmJ40GHrqTugsN0xGMabIYeFOEr55hMRsrKt/9U/CF4eA8GKPn5tK2rZikhwgFx3yi4rPvKbWVjV5Ls9Czy8HPrph4j4MyRhthS7Ny3v22hJ0/ha2tD7cnE+vwC/Xpf+VrAZ1ErM7JLf7Vt5TLCqK16eSs=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2020-10-06T15:38:00Z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